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9svm3j2xgydk" w:id="0"/>
      <w:bookmarkEnd w:id="0"/>
      <w:r w:rsidDel="00000000" w:rsidR="00000000" w:rsidRPr="00000000">
        <w:rPr>
          <w:rtl w:val="0"/>
        </w:rPr>
        <w:t xml:space="preserve">Cat Cafe Rules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order to promote a safe and enjoyable space for both our customers and kitties we ask that you abide by the following: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Be kind to our kitties.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Children under 18 must be accompanied by an adult parent or guardian and must be supervised at all times.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Please do not open the door between the cat cafe and the doggy daycare.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Use gentle touch and soft voices, please do not chase cats or pull on their ears or tails.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Please let the cats come to you. Cats are naturally curious and will approach as they feel comfortable. While you may pet a sleeping cat please understand that sleep is important for the kitties and don’t wake them.</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Keep food and drink away from the cats, their stomachs are sensitive and people food or drink can make them very ill. Cat treats are available for purchase at the front desk.</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Pet cats on their head and upper back, and remember that most cats will claw and scratch if you touch their stomach area.</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Be aware when entering or exiting the cafe, cats are quick and sneaky!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We reserve the right to ask you to leave if your behavior is deemed harmful to the cats, no refunds will be offered in this case.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Have fun, take lots of pics, and tell your friends!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